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118B" w14:textId="77777777" w:rsidR="0078097A" w:rsidRDefault="0078097A" w:rsidP="0078097A">
      <w:pPr>
        <w:jc w:val="center"/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 xml:space="preserve">The Tadeusz Manteuffel </w:t>
      </w:r>
      <w:r w:rsidRPr="0077509E">
        <w:rPr>
          <w:color w:val="000000"/>
          <w:shd w:val="clear" w:color="auto" w:fill="FFFFFF"/>
          <w:lang w:val="en-GB"/>
        </w:rPr>
        <w:t>Institute of History Polish Academy of Sciences</w:t>
      </w:r>
      <w:r w:rsidRPr="0077509E">
        <w:rPr>
          <w:color w:val="000000"/>
          <w:lang w:val="en-GB"/>
        </w:rPr>
        <w:br/>
      </w:r>
      <w:r w:rsidRPr="0077509E">
        <w:rPr>
          <w:color w:val="000000"/>
          <w:shd w:val="clear" w:color="auto" w:fill="FFFFFF"/>
          <w:lang w:val="en-GB"/>
        </w:rPr>
        <w:t>Centre for Historical Studies</w:t>
      </w:r>
      <w:r w:rsidRPr="0077509E">
        <w:rPr>
          <w:color w:val="000000"/>
          <w:lang w:val="en-GB"/>
        </w:rPr>
        <w:br/>
      </w:r>
      <w:r w:rsidRPr="0077509E">
        <w:rPr>
          <w:color w:val="000000"/>
          <w:shd w:val="clear" w:color="auto" w:fill="FFFFFF"/>
          <w:lang w:val="en-GB"/>
        </w:rPr>
        <w:t>Oxford Centre for Byzantine Research</w:t>
      </w:r>
      <w:r w:rsidRPr="0077509E">
        <w:rPr>
          <w:color w:val="000000"/>
          <w:lang w:val="en-GB"/>
        </w:rPr>
        <w:br/>
      </w:r>
      <w:r w:rsidRPr="0077509E">
        <w:rPr>
          <w:color w:val="000000"/>
          <w:shd w:val="clear" w:color="auto" w:fill="FFFFFF"/>
          <w:lang w:val="en-GB"/>
        </w:rPr>
        <w:t>Early Slavonic Seminar</w:t>
      </w:r>
    </w:p>
    <w:p w14:paraId="679BDFAE" w14:textId="0468241C" w:rsidR="0078097A" w:rsidRDefault="0078097A" w:rsidP="0078097A">
      <w:pPr>
        <w:jc w:val="center"/>
        <w:rPr>
          <w:color w:val="000000"/>
          <w:shd w:val="clear" w:color="auto" w:fill="FFFFFF"/>
          <w:lang w:val="en-GB"/>
        </w:rPr>
      </w:pPr>
      <w:r w:rsidRPr="00112E77">
        <w:rPr>
          <w:color w:val="000000"/>
          <w:lang w:val="en-GB"/>
        </w:rPr>
        <w:t>Centre for East European Studies University of Warsaw</w:t>
      </w:r>
      <w:r w:rsidRPr="0077509E">
        <w:rPr>
          <w:color w:val="000000"/>
          <w:lang w:val="en-GB"/>
        </w:rPr>
        <w:br/>
      </w:r>
      <w:r w:rsidRPr="0077509E">
        <w:rPr>
          <w:color w:val="000000"/>
          <w:shd w:val="clear" w:color="auto" w:fill="FFFFFF"/>
          <w:lang w:val="en-GB"/>
        </w:rPr>
        <w:t>Institute of Central Europe</w:t>
      </w:r>
      <w:r w:rsidRPr="0077509E">
        <w:rPr>
          <w:color w:val="000000"/>
          <w:lang w:val="en-GB"/>
        </w:rPr>
        <w:br/>
      </w:r>
      <w:r w:rsidRPr="0077509E">
        <w:rPr>
          <w:color w:val="000000"/>
          <w:shd w:val="clear" w:color="auto" w:fill="FFFFFF"/>
          <w:lang w:val="en-GB"/>
        </w:rPr>
        <w:t>The Polish Young Academy of the Polish Academy of Sciences</w:t>
      </w:r>
    </w:p>
    <w:p w14:paraId="2A3DF6E0" w14:textId="00CBE3DF" w:rsidR="00796F1B" w:rsidRPr="00796F1B" w:rsidRDefault="00796F1B" w:rsidP="0078097A">
      <w:pPr>
        <w:jc w:val="center"/>
        <w:rPr>
          <w:bCs/>
          <w:lang w:val="en-GB"/>
        </w:rPr>
      </w:pPr>
      <w:r w:rsidRPr="00796F1B">
        <w:rPr>
          <w:color w:val="000000"/>
          <w:shd w:val="clear" w:color="auto" w:fill="FFFFFF"/>
          <w:lang w:val="en-GB"/>
        </w:rPr>
        <w:t>Institute of Archaeology and Ethnography Polish Academy of Sciences</w:t>
      </w:r>
    </w:p>
    <w:p w14:paraId="61E0FC69" w14:textId="77777777" w:rsidR="0078097A" w:rsidRPr="00C762AA" w:rsidRDefault="0078097A" w:rsidP="0078097A">
      <w:pPr>
        <w:jc w:val="center"/>
        <w:rPr>
          <w:lang w:val="en-US"/>
        </w:rPr>
      </w:pPr>
    </w:p>
    <w:p w14:paraId="0F403F0F" w14:textId="77777777" w:rsidR="0078097A" w:rsidRPr="00540096" w:rsidRDefault="0078097A" w:rsidP="0078097A">
      <w:pPr>
        <w:jc w:val="center"/>
        <w:textAlignment w:val="top"/>
        <w:rPr>
          <w:rStyle w:val="hps"/>
          <w:b/>
          <w:bCs/>
          <w:color w:val="000000"/>
          <w:lang w:val="en"/>
        </w:rPr>
      </w:pPr>
      <w:r w:rsidRPr="00540096">
        <w:rPr>
          <w:rStyle w:val="hps"/>
          <w:b/>
          <w:bCs/>
          <w:color w:val="000000"/>
          <w:lang w:val="en"/>
        </w:rPr>
        <w:t>Application</w:t>
      </w:r>
      <w:r w:rsidRPr="00540096">
        <w:rPr>
          <w:rStyle w:val="shorttext"/>
          <w:b/>
          <w:bCs/>
          <w:color w:val="000000"/>
          <w:lang w:val="en"/>
        </w:rPr>
        <w:t xml:space="preserve"> </w:t>
      </w:r>
      <w:r w:rsidRPr="00540096">
        <w:rPr>
          <w:rStyle w:val="hps"/>
          <w:b/>
          <w:bCs/>
          <w:color w:val="000000"/>
          <w:lang w:val="en"/>
        </w:rPr>
        <w:t>for</w:t>
      </w:r>
      <w:r w:rsidRPr="00540096">
        <w:rPr>
          <w:rStyle w:val="shorttext"/>
          <w:b/>
          <w:bCs/>
          <w:color w:val="000000"/>
          <w:lang w:val="en"/>
        </w:rPr>
        <w:t xml:space="preserve"> </w:t>
      </w:r>
      <w:r w:rsidRPr="00540096">
        <w:rPr>
          <w:rStyle w:val="hps"/>
          <w:b/>
          <w:bCs/>
          <w:color w:val="000000"/>
          <w:lang w:val="en"/>
        </w:rPr>
        <w:t>participation</w:t>
      </w:r>
    </w:p>
    <w:p w14:paraId="2EBFE00B" w14:textId="77777777" w:rsidR="0078097A" w:rsidRDefault="0078097A" w:rsidP="0078097A">
      <w:pPr>
        <w:jc w:val="center"/>
        <w:textAlignment w:val="top"/>
        <w:rPr>
          <w:lang w:val="en-GB"/>
        </w:rPr>
      </w:pPr>
      <w:r w:rsidRPr="00540096">
        <w:rPr>
          <w:rStyle w:val="hps"/>
          <w:color w:val="000000"/>
          <w:lang w:val="en"/>
        </w:rPr>
        <w:t>in the</w:t>
      </w:r>
      <w:r w:rsidRPr="00540096">
        <w:rPr>
          <w:color w:val="000000"/>
          <w:lang w:val="en"/>
        </w:rPr>
        <w:t xml:space="preserve"> </w:t>
      </w:r>
      <w:r>
        <w:rPr>
          <w:rStyle w:val="hps"/>
          <w:color w:val="000000"/>
          <w:lang w:val="en"/>
        </w:rPr>
        <w:t>Second</w:t>
      </w:r>
      <w:r w:rsidRPr="00540096">
        <w:rPr>
          <w:color w:val="000000"/>
          <w:lang w:val="en"/>
        </w:rPr>
        <w:t xml:space="preserve"> </w:t>
      </w:r>
      <w:r w:rsidRPr="00540096">
        <w:rPr>
          <w:rStyle w:val="hps"/>
          <w:color w:val="000000"/>
          <w:lang w:val="en"/>
        </w:rPr>
        <w:t>International Scientific Conference</w:t>
      </w:r>
      <w:r>
        <w:rPr>
          <w:rStyle w:val="hps"/>
          <w:color w:val="000000"/>
          <w:lang w:val="en"/>
        </w:rPr>
        <w:t xml:space="preserve"> on the theme</w:t>
      </w:r>
    </w:p>
    <w:p w14:paraId="1202C550" w14:textId="77777777" w:rsidR="0078097A" w:rsidRPr="00540096" w:rsidRDefault="0078097A" w:rsidP="0078097A">
      <w:pPr>
        <w:jc w:val="center"/>
        <w:textAlignment w:val="top"/>
        <w:rPr>
          <w:color w:val="888888"/>
          <w:lang w:val="en-US"/>
        </w:rPr>
      </w:pPr>
      <w:r>
        <w:rPr>
          <w:lang w:val="en-GB"/>
        </w:rPr>
        <w:t>“</w:t>
      </w:r>
      <w:r w:rsidRPr="00D27DDD">
        <w:rPr>
          <w:bCs/>
          <w:lang w:val="en-GB"/>
        </w:rPr>
        <w:t>Worlds of the Slavs</w:t>
      </w:r>
      <w:r>
        <w:rPr>
          <w:lang w:val="en-GB"/>
        </w:rPr>
        <w:t>”</w:t>
      </w:r>
    </w:p>
    <w:p w14:paraId="0F585433" w14:textId="77777777" w:rsidR="0078097A" w:rsidRPr="00540096" w:rsidRDefault="0078097A" w:rsidP="0078097A">
      <w:pPr>
        <w:jc w:val="center"/>
        <w:textAlignment w:val="top"/>
        <w:rPr>
          <w:rStyle w:val="shorttext"/>
          <w:b/>
          <w:bCs/>
          <w:color w:val="000000"/>
          <w:lang w:val="en-US"/>
        </w:rPr>
      </w:pPr>
    </w:p>
    <w:p w14:paraId="4AA2DC9A" w14:textId="77777777" w:rsidR="0078097A" w:rsidRPr="00E75669" w:rsidRDefault="0078097A" w:rsidP="0078097A">
      <w:pPr>
        <w:shd w:val="clear" w:color="auto" w:fill="FFFFFF"/>
        <w:jc w:val="center"/>
        <w:rPr>
          <w:bCs/>
          <w:color w:val="212121"/>
          <w:bdr w:val="none" w:sz="0" w:space="0" w:color="auto" w:frame="1"/>
          <w:lang w:val="en-GB"/>
        </w:rPr>
      </w:pPr>
      <w:r w:rsidRPr="00E75669">
        <w:rPr>
          <w:bCs/>
          <w:color w:val="212121"/>
          <w:bdr w:val="none" w:sz="0" w:space="0" w:color="auto" w:frame="1"/>
          <w:lang w:val="en-GB"/>
        </w:rPr>
        <w:t>'Market Towns and Trade from the Elbe to the Yenisei (10th-15th centuries)'</w:t>
      </w:r>
    </w:p>
    <w:p w14:paraId="64F5E300" w14:textId="77777777" w:rsidR="0078097A" w:rsidRPr="00E75669" w:rsidRDefault="0078097A" w:rsidP="0078097A">
      <w:pPr>
        <w:jc w:val="center"/>
        <w:textAlignment w:val="top"/>
        <w:rPr>
          <w:rStyle w:val="shorttext"/>
          <w:bCs/>
          <w:color w:val="000000"/>
          <w:lang w:val="en"/>
        </w:rPr>
      </w:pPr>
      <w:r w:rsidRPr="00E75669">
        <w:rPr>
          <w:bCs/>
          <w:bdr w:val="none" w:sz="0" w:space="0" w:color="auto" w:frame="1"/>
          <w:lang w:val="en-US"/>
        </w:rPr>
        <w:t>June 16-18, 2022</w:t>
      </w:r>
    </w:p>
    <w:p w14:paraId="481255C9" w14:textId="77777777" w:rsidR="0078097A" w:rsidRPr="00E75669" w:rsidRDefault="0078097A" w:rsidP="0078097A">
      <w:pPr>
        <w:jc w:val="center"/>
        <w:textAlignment w:val="top"/>
        <w:rPr>
          <w:rStyle w:val="shorttext"/>
          <w:bCs/>
          <w:color w:val="000000"/>
          <w:lang w:val="en"/>
        </w:rPr>
      </w:pPr>
      <w:r w:rsidRPr="00E75669">
        <w:rPr>
          <w:bCs/>
          <w:lang w:val="en-US"/>
        </w:rPr>
        <w:t>Warsaw, Poland</w:t>
      </w:r>
    </w:p>
    <w:p w14:paraId="0271D13F" w14:textId="77777777" w:rsidR="0078097A" w:rsidRPr="00937531" w:rsidRDefault="0078097A" w:rsidP="0078097A">
      <w:pPr>
        <w:pBdr>
          <w:bottom w:val="single" w:sz="6" w:space="1" w:color="auto"/>
        </w:pBdr>
        <w:jc w:val="center"/>
        <w:rPr>
          <w:lang w:val="en-CA"/>
        </w:rPr>
      </w:pPr>
    </w:p>
    <w:p w14:paraId="63750D77" w14:textId="77777777" w:rsidR="0078097A" w:rsidRPr="00937531" w:rsidRDefault="0078097A" w:rsidP="0078097A">
      <w:pPr>
        <w:ind w:hanging="543"/>
        <w:rPr>
          <w:lang w:val="en-CA"/>
        </w:rPr>
      </w:pPr>
    </w:p>
    <w:p w14:paraId="1C927530" w14:textId="77777777" w:rsidR="0078097A" w:rsidRPr="00540096" w:rsidRDefault="0078097A" w:rsidP="0078097A">
      <w:pPr>
        <w:textAlignment w:val="top"/>
        <w:rPr>
          <w:rStyle w:val="shorttext"/>
          <w:i/>
          <w:color w:val="000000"/>
          <w:lang w:val="en"/>
        </w:rPr>
      </w:pPr>
      <w:r w:rsidRPr="00540096">
        <w:rPr>
          <w:rStyle w:val="shorttext"/>
          <w:i/>
          <w:color w:val="000000"/>
          <w:lang w:val="en"/>
        </w:rPr>
        <w:t xml:space="preserve">(Please fill </w:t>
      </w:r>
      <w:r>
        <w:rPr>
          <w:rStyle w:val="shorttext"/>
          <w:i/>
          <w:color w:val="000000"/>
          <w:lang w:val="en"/>
        </w:rPr>
        <w:t xml:space="preserve">in the </w:t>
      </w:r>
      <w:r w:rsidRPr="00540096">
        <w:rPr>
          <w:rStyle w:val="shorttext"/>
          <w:i/>
          <w:color w:val="000000"/>
          <w:lang w:val="en"/>
        </w:rPr>
        <w:t>required fields)</w:t>
      </w:r>
    </w:p>
    <w:p w14:paraId="39A66C95" w14:textId="77777777" w:rsidR="0078097A" w:rsidRPr="00540096" w:rsidRDefault="0078097A" w:rsidP="0078097A">
      <w:pPr>
        <w:widowControl w:val="0"/>
        <w:tabs>
          <w:tab w:val="left" w:pos="420"/>
        </w:tabs>
        <w:autoSpaceDE w:val="0"/>
        <w:autoSpaceDN w:val="0"/>
        <w:adjustRightInd w:val="0"/>
        <w:ind w:left="420" w:hanging="360"/>
        <w:rPr>
          <w:lang w:val="en"/>
        </w:rPr>
        <w:sectPr w:rsidR="0078097A" w:rsidRPr="00540096" w:rsidSect="00540096">
          <w:pgSz w:w="11906" w:h="16838"/>
          <w:pgMar w:top="904" w:right="865" w:bottom="1417" w:left="905" w:header="708" w:footer="708" w:gutter="0"/>
          <w:cols w:space="708"/>
          <w:docGrid w:linePitch="360"/>
        </w:sectPr>
      </w:pPr>
    </w:p>
    <w:p w14:paraId="40A0682C" w14:textId="77777777" w:rsidR="0078097A" w:rsidRPr="00540096" w:rsidRDefault="0078097A" w:rsidP="0078097A">
      <w:pPr>
        <w:widowControl w:val="0"/>
        <w:tabs>
          <w:tab w:val="left" w:pos="420"/>
        </w:tabs>
        <w:autoSpaceDE w:val="0"/>
        <w:autoSpaceDN w:val="0"/>
        <w:adjustRightInd w:val="0"/>
        <w:ind w:left="420" w:hanging="360"/>
        <w:rPr>
          <w:lang w:val="en-US"/>
        </w:rPr>
      </w:pPr>
    </w:p>
    <w:p w14:paraId="64C923DE" w14:textId="77777777" w:rsidR="0078097A" w:rsidRPr="00BB73C7" w:rsidRDefault="0078097A" w:rsidP="0078097A">
      <w:pPr>
        <w:numPr>
          <w:ilvl w:val="0"/>
          <w:numId w:val="1"/>
        </w:numPr>
        <w:spacing w:line="360" w:lineRule="auto"/>
        <w:textAlignment w:val="top"/>
        <w:rPr>
          <w:rStyle w:val="shorttext"/>
          <w:b/>
          <w:bCs/>
          <w:color w:val="000000"/>
          <w:lang w:val="en"/>
        </w:rPr>
      </w:pPr>
      <w:r>
        <w:rPr>
          <w:rStyle w:val="shorttext"/>
          <w:b/>
          <w:bCs/>
          <w:color w:val="000000"/>
          <w:lang w:val="en"/>
        </w:rPr>
        <w:t>Last name, first n</w:t>
      </w:r>
      <w:r w:rsidRPr="00BB73C7">
        <w:rPr>
          <w:rStyle w:val="shorttext"/>
          <w:b/>
          <w:bCs/>
          <w:color w:val="000000"/>
          <w:lang w:val="en"/>
        </w:rPr>
        <w:t>ame:</w:t>
      </w:r>
    </w:p>
    <w:p w14:paraId="1371EB38" w14:textId="77777777" w:rsidR="0078097A" w:rsidRPr="00BB73C7" w:rsidRDefault="0078097A" w:rsidP="0078097A">
      <w:pPr>
        <w:numPr>
          <w:ilvl w:val="0"/>
          <w:numId w:val="1"/>
        </w:numPr>
        <w:spacing w:line="360" w:lineRule="auto"/>
        <w:textAlignment w:val="top"/>
        <w:rPr>
          <w:rStyle w:val="shorttext"/>
          <w:b/>
          <w:bCs/>
          <w:color w:val="000000"/>
          <w:lang w:val="en"/>
        </w:rPr>
      </w:pPr>
      <w:r w:rsidRPr="00BB73C7">
        <w:rPr>
          <w:rStyle w:val="shorttext"/>
          <w:b/>
          <w:bCs/>
          <w:color w:val="000000"/>
          <w:lang w:val="en"/>
        </w:rPr>
        <w:t>E-mail:</w:t>
      </w:r>
    </w:p>
    <w:p w14:paraId="14598895" w14:textId="77777777" w:rsidR="0078097A" w:rsidRPr="00BB73C7" w:rsidRDefault="0078097A" w:rsidP="0078097A">
      <w:pPr>
        <w:numPr>
          <w:ilvl w:val="0"/>
          <w:numId w:val="1"/>
        </w:numPr>
        <w:spacing w:line="360" w:lineRule="auto"/>
        <w:textAlignment w:val="top"/>
        <w:rPr>
          <w:rStyle w:val="shorttext"/>
          <w:b/>
          <w:bCs/>
          <w:color w:val="000000"/>
          <w:lang w:val="en"/>
        </w:rPr>
      </w:pPr>
      <w:r w:rsidRPr="00BB73C7">
        <w:rPr>
          <w:rStyle w:val="shorttext"/>
          <w:b/>
          <w:bCs/>
          <w:color w:val="000000"/>
          <w:lang w:val="en"/>
        </w:rPr>
        <w:t>Address for correspondence:</w:t>
      </w:r>
    </w:p>
    <w:p w14:paraId="49D9694F" w14:textId="77777777" w:rsidR="0078097A" w:rsidRPr="00BB73C7" w:rsidRDefault="0078097A" w:rsidP="0078097A">
      <w:pPr>
        <w:numPr>
          <w:ilvl w:val="0"/>
          <w:numId w:val="1"/>
        </w:numPr>
        <w:spacing w:line="360" w:lineRule="auto"/>
        <w:textAlignment w:val="top"/>
        <w:rPr>
          <w:rStyle w:val="shorttext"/>
          <w:b/>
          <w:bCs/>
          <w:color w:val="000000"/>
          <w:lang w:val="en"/>
        </w:rPr>
      </w:pPr>
      <w:r>
        <w:rPr>
          <w:rStyle w:val="shorttext"/>
          <w:b/>
          <w:bCs/>
          <w:color w:val="000000"/>
          <w:lang w:val="en"/>
        </w:rPr>
        <w:t>U</w:t>
      </w:r>
      <w:r w:rsidRPr="00BB73C7">
        <w:rPr>
          <w:rStyle w:val="shorttext"/>
          <w:b/>
          <w:bCs/>
          <w:color w:val="000000"/>
          <w:lang w:val="en"/>
        </w:rPr>
        <w:t>niversity:</w:t>
      </w:r>
    </w:p>
    <w:p w14:paraId="34A9E9D8" w14:textId="77777777" w:rsidR="0078097A" w:rsidRPr="00BB73C7" w:rsidRDefault="0078097A" w:rsidP="0078097A">
      <w:pPr>
        <w:numPr>
          <w:ilvl w:val="0"/>
          <w:numId w:val="1"/>
        </w:numPr>
        <w:spacing w:line="360" w:lineRule="auto"/>
        <w:textAlignment w:val="top"/>
        <w:rPr>
          <w:rStyle w:val="shorttext"/>
          <w:b/>
          <w:bCs/>
          <w:color w:val="000000"/>
          <w:lang w:val="en"/>
        </w:rPr>
      </w:pPr>
      <w:r w:rsidRPr="00BB73C7">
        <w:rPr>
          <w:rStyle w:val="shorttext"/>
          <w:b/>
          <w:bCs/>
          <w:color w:val="000000"/>
          <w:lang w:val="en"/>
        </w:rPr>
        <w:t>Faculty</w:t>
      </w:r>
      <w:r>
        <w:rPr>
          <w:rStyle w:val="shorttext"/>
          <w:b/>
          <w:bCs/>
          <w:color w:val="000000"/>
          <w:lang w:val="en"/>
        </w:rPr>
        <w:t>/Department/Section</w:t>
      </w:r>
      <w:r w:rsidRPr="00BB73C7">
        <w:rPr>
          <w:rStyle w:val="shorttext"/>
          <w:b/>
          <w:bCs/>
          <w:color w:val="000000"/>
          <w:lang w:val="en"/>
        </w:rPr>
        <w:t>:</w:t>
      </w:r>
    </w:p>
    <w:p w14:paraId="757CDDC1" w14:textId="77777777" w:rsidR="0078097A" w:rsidRPr="00BB73C7" w:rsidRDefault="0078097A" w:rsidP="0078097A">
      <w:pPr>
        <w:numPr>
          <w:ilvl w:val="0"/>
          <w:numId w:val="1"/>
        </w:numPr>
        <w:spacing w:line="360" w:lineRule="auto"/>
        <w:textAlignment w:val="top"/>
        <w:rPr>
          <w:rStyle w:val="shorttext"/>
          <w:b/>
          <w:bCs/>
          <w:color w:val="000000"/>
          <w:lang w:val="en"/>
        </w:rPr>
      </w:pPr>
      <w:r>
        <w:rPr>
          <w:rStyle w:val="shorttext"/>
          <w:b/>
          <w:bCs/>
          <w:color w:val="000000"/>
          <w:lang w:val="en"/>
        </w:rPr>
        <w:t>Institutional address</w:t>
      </w:r>
      <w:r w:rsidRPr="00BB73C7">
        <w:rPr>
          <w:rStyle w:val="shorttext"/>
          <w:b/>
          <w:bCs/>
          <w:color w:val="000000"/>
          <w:lang w:val="en"/>
        </w:rPr>
        <w:t>:</w:t>
      </w:r>
    </w:p>
    <w:p w14:paraId="52543098" w14:textId="77777777" w:rsidR="0078097A" w:rsidRPr="00BB73C7" w:rsidRDefault="0078097A" w:rsidP="0078097A">
      <w:pPr>
        <w:numPr>
          <w:ilvl w:val="0"/>
          <w:numId w:val="1"/>
        </w:numPr>
        <w:spacing w:line="360" w:lineRule="auto"/>
        <w:textAlignment w:val="top"/>
        <w:rPr>
          <w:rStyle w:val="shorttext"/>
          <w:b/>
          <w:bCs/>
          <w:color w:val="000000"/>
          <w:lang w:val="en"/>
        </w:rPr>
      </w:pPr>
      <w:r>
        <w:rPr>
          <w:rStyle w:val="shorttext"/>
          <w:b/>
          <w:bCs/>
          <w:color w:val="000000"/>
          <w:lang w:val="en"/>
        </w:rPr>
        <w:t>Required a</w:t>
      </w:r>
      <w:r w:rsidRPr="00BB73C7">
        <w:rPr>
          <w:rStyle w:val="shorttext"/>
          <w:b/>
          <w:bCs/>
          <w:color w:val="000000"/>
          <w:lang w:val="en"/>
        </w:rPr>
        <w:t>ccommodation:</w:t>
      </w:r>
    </w:p>
    <w:p w14:paraId="02D91E40" w14:textId="77777777" w:rsidR="0078097A" w:rsidRDefault="0078097A" w:rsidP="0078097A">
      <w:pPr>
        <w:widowControl w:val="0"/>
        <w:autoSpaceDE w:val="0"/>
        <w:autoSpaceDN w:val="0"/>
        <w:adjustRightInd w:val="0"/>
        <w:spacing w:line="360" w:lineRule="auto"/>
        <w:ind w:left="720"/>
      </w:pPr>
      <w:r w:rsidRPr="00326547">
        <w:rPr>
          <w:lang w:val="ru-RU"/>
        </w:rPr>
        <w:t xml:space="preserve">□ </w:t>
      </w:r>
      <w:r>
        <w:t>15</w:t>
      </w:r>
      <w:r w:rsidRPr="00326547">
        <w:rPr>
          <w:lang w:val="ru-RU"/>
        </w:rPr>
        <w:t>/</w:t>
      </w:r>
      <w:r>
        <w:t>16</w:t>
      </w:r>
      <w:r w:rsidRPr="00326547">
        <w:rPr>
          <w:lang w:val="ru-RU"/>
        </w:rPr>
        <w:t xml:space="preserve"> </w:t>
      </w:r>
      <w:r>
        <w:t>VI</w:t>
      </w:r>
      <w:r w:rsidRPr="00326547">
        <w:rPr>
          <w:lang w:val="ru-RU"/>
        </w:rPr>
        <w:t xml:space="preserve">  </w:t>
      </w:r>
      <w:r w:rsidRPr="00326547">
        <w:rPr>
          <w:lang w:val="ru-RU"/>
        </w:rPr>
        <w:tab/>
        <w:t xml:space="preserve">□ </w:t>
      </w:r>
      <w:r>
        <w:t>16</w:t>
      </w:r>
      <w:r>
        <w:rPr>
          <w:lang w:val="ru-RU"/>
        </w:rPr>
        <w:t>/</w:t>
      </w:r>
      <w:r>
        <w:t>17</w:t>
      </w:r>
      <w:r w:rsidRPr="00326547">
        <w:rPr>
          <w:lang w:val="ru-RU"/>
        </w:rPr>
        <w:t xml:space="preserve"> </w:t>
      </w:r>
      <w:r>
        <w:t>VI</w:t>
      </w:r>
      <w:r>
        <w:rPr>
          <w:lang w:val="uk-UA"/>
        </w:rPr>
        <w:t xml:space="preserve">         </w:t>
      </w:r>
      <w:r w:rsidRPr="00326547">
        <w:rPr>
          <w:lang w:val="ru-RU"/>
        </w:rPr>
        <w:t xml:space="preserve">□ </w:t>
      </w:r>
      <w:r>
        <w:t>17</w:t>
      </w:r>
      <w:r w:rsidRPr="00326547">
        <w:rPr>
          <w:lang w:val="ru-RU"/>
        </w:rPr>
        <w:t>/</w:t>
      </w:r>
      <w:r>
        <w:t>18</w:t>
      </w:r>
      <w:r w:rsidRPr="00326547">
        <w:rPr>
          <w:lang w:val="ru-RU"/>
        </w:rPr>
        <w:t xml:space="preserve"> </w:t>
      </w:r>
      <w:r>
        <w:t>VI</w:t>
      </w:r>
      <w:r>
        <w:tab/>
      </w:r>
      <w:r w:rsidRPr="00326547">
        <w:rPr>
          <w:lang w:val="ru-RU"/>
        </w:rPr>
        <w:t xml:space="preserve">□ </w:t>
      </w:r>
      <w:r>
        <w:t>18</w:t>
      </w:r>
      <w:r w:rsidRPr="00326547">
        <w:rPr>
          <w:lang w:val="ru-RU"/>
        </w:rPr>
        <w:t>/</w:t>
      </w:r>
      <w:r>
        <w:t>19</w:t>
      </w:r>
      <w:r w:rsidRPr="00326547">
        <w:rPr>
          <w:lang w:val="ru-RU"/>
        </w:rPr>
        <w:t xml:space="preserve"> </w:t>
      </w:r>
      <w:r>
        <w:t>VI</w:t>
      </w:r>
    </w:p>
    <w:p w14:paraId="5E6A275C" w14:textId="77777777" w:rsidR="0078097A" w:rsidRPr="00AD66B9" w:rsidRDefault="0078097A" w:rsidP="0078097A">
      <w:pPr>
        <w:widowControl w:val="0"/>
        <w:autoSpaceDE w:val="0"/>
        <w:autoSpaceDN w:val="0"/>
        <w:adjustRightInd w:val="0"/>
        <w:spacing w:line="360" w:lineRule="auto"/>
        <w:ind w:left="720"/>
        <w:rPr>
          <w:rStyle w:val="shorttext"/>
        </w:rPr>
      </w:pPr>
      <w:r w:rsidRPr="00326547">
        <w:rPr>
          <w:lang w:val="ru-RU"/>
        </w:rPr>
        <w:t>□</w:t>
      </w:r>
      <w:r>
        <w:t xml:space="preserve"> online</w:t>
      </w:r>
    </w:p>
    <w:p w14:paraId="2974D169" w14:textId="77777777" w:rsidR="0078097A" w:rsidRPr="00BB73C7" w:rsidRDefault="0078097A" w:rsidP="0078097A">
      <w:pPr>
        <w:numPr>
          <w:ilvl w:val="0"/>
          <w:numId w:val="1"/>
        </w:numPr>
        <w:spacing w:line="360" w:lineRule="auto"/>
        <w:textAlignment w:val="top"/>
        <w:rPr>
          <w:rStyle w:val="shorttext"/>
          <w:b/>
          <w:bCs/>
          <w:color w:val="000000"/>
          <w:lang w:val="en"/>
        </w:rPr>
      </w:pPr>
      <w:r w:rsidRPr="00BB73C7">
        <w:rPr>
          <w:rStyle w:val="shorttext"/>
          <w:b/>
          <w:bCs/>
          <w:color w:val="000000"/>
          <w:lang w:val="en"/>
        </w:rPr>
        <w:t>Required equipment:</w:t>
      </w:r>
    </w:p>
    <w:p w14:paraId="01928396" w14:textId="77777777" w:rsidR="0078097A" w:rsidRPr="00BB73C7" w:rsidRDefault="0078097A" w:rsidP="0078097A">
      <w:pPr>
        <w:spacing w:line="360" w:lineRule="auto"/>
        <w:ind w:left="360"/>
        <w:textAlignment w:val="top"/>
        <w:rPr>
          <w:lang w:val="en-US"/>
        </w:rPr>
      </w:pPr>
      <w:r w:rsidRPr="00BB73C7">
        <w:rPr>
          <w:rStyle w:val="shorttext"/>
          <w:color w:val="000000"/>
          <w:lang w:val="en"/>
        </w:rPr>
        <w:t xml:space="preserve"> </w:t>
      </w:r>
      <w:r w:rsidRPr="00BB73C7">
        <w:t>□</w:t>
      </w:r>
      <w:r w:rsidRPr="00BB73C7">
        <w:rPr>
          <w:lang w:val="en-US"/>
        </w:rPr>
        <w:t xml:space="preserve"> projector</w:t>
      </w:r>
    </w:p>
    <w:p w14:paraId="6CCECE2F" w14:textId="77777777" w:rsidR="0078097A" w:rsidRPr="00BB73C7" w:rsidRDefault="0078097A" w:rsidP="0078097A">
      <w:pPr>
        <w:spacing w:line="360" w:lineRule="auto"/>
        <w:ind w:left="360"/>
        <w:textAlignment w:val="top"/>
        <w:rPr>
          <w:lang w:val="en-US"/>
        </w:rPr>
      </w:pPr>
      <w:r w:rsidRPr="00BB73C7">
        <w:rPr>
          <w:lang w:val="en-US"/>
        </w:rPr>
        <w:t xml:space="preserve"> </w:t>
      </w:r>
      <w:r w:rsidRPr="00BB73C7">
        <w:t>□</w:t>
      </w:r>
      <w:r w:rsidRPr="00BB73C7">
        <w:rPr>
          <w:lang w:val="en-US"/>
        </w:rPr>
        <w:t xml:space="preserve"> audio</w:t>
      </w:r>
    </w:p>
    <w:p w14:paraId="54C8BFDC" w14:textId="77777777" w:rsidR="0078097A" w:rsidRPr="00BB73C7" w:rsidRDefault="0078097A" w:rsidP="0078097A">
      <w:pPr>
        <w:spacing w:line="360" w:lineRule="auto"/>
        <w:ind w:left="360"/>
        <w:textAlignment w:val="top"/>
        <w:rPr>
          <w:lang w:val="en-US"/>
        </w:rPr>
      </w:pPr>
      <w:r w:rsidRPr="00BB73C7">
        <w:rPr>
          <w:lang w:val="en-US"/>
        </w:rPr>
        <w:t xml:space="preserve"> </w:t>
      </w:r>
      <w:r w:rsidRPr="00BB73C7">
        <w:t>□</w:t>
      </w:r>
      <w:r w:rsidRPr="00BB73C7">
        <w:rPr>
          <w:lang w:val="en-US"/>
        </w:rPr>
        <w:t xml:space="preserve"> computer</w:t>
      </w:r>
    </w:p>
    <w:p w14:paraId="347537C2" w14:textId="77777777" w:rsidR="0078097A" w:rsidRDefault="0078097A" w:rsidP="0078097A">
      <w:pPr>
        <w:spacing w:line="360" w:lineRule="auto"/>
        <w:ind w:left="360"/>
        <w:textAlignment w:val="top"/>
        <w:rPr>
          <w:b/>
          <w:bCs/>
          <w:lang w:val="ru-RU"/>
        </w:rPr>
      </w:pPr>
      <w:r w:rsidRPr="006B47E9">
        <w:rPr>
          <w:b/>
          <w:bCs/>
        </w:rPr>
        <w:t>9</w:t>
      </w:r>
      <w:r w:rsidRPr="006B47E9">
        <w:rPr>
          <w:b/>
          <w:bCs/>
          <w:lang w:val="ru-RU"/>
        </w:rPr>
        <w:t xml:space="preserve">. </w:t>
      </w:r>
      <w:r w:rsidRPr="005F2399">
        <w:rPr>
          <w:b/>
          <w:bCs/>
          <w:lang w:val="en-US"/>
        </w:rPr>
        <w:t>Topic</w:t>
      </w:r>
      <w:r w:rsidRPr="005F2399">
        <w:rPr>
          <w:b/>
          <w:bCs/>
          <w:lang w:val="ru-RU"/>
        </w:rPr>
        <w:t xml:space="preserve">: </w:t>
      </w:r>
    </w:p>
    <w:p w14:paraId="0FE8E958" w14:textId="77777777" w:rsidR="0078097A" w:rsidRPr="00DE162B" w:rsidRDefault="0078097A" w:rsidP="0078097A">
      <w:pPr>
        <w:spacing w:line="360" w:lineRule="auto"/>
        <w:ind w:left="360"/>
        <w:textAlignment w:val="top"/>
        <w:rPr>
          <w:b/>
          <w:bCs/>
        </w:rPr>
      </w:pPr>
      <w:r w:rsidRPr="00DE162B">
        <w:rPr>
          <w:b/>
          <w:bCs/>
        </w:rPr>
        <w:t xml:space="preserve">10. </w:t>
      </w:r>
      <w:proofErr w:type="spellStart"/>
      <w:r w:rsidRPr="00DE162B">
        <w:rPr>
          <w:b/>
          <w:bCs/>
        </w:rPr>
        <w:t>Abstract</w:t>
      </w:r>
      <w:proofErr w:type="spellEnd"/>
      <w:r w:rsidRPr="00DE162B">
        <w:rPr>
          <w:b/>
          <w:bCs/>
        </w:rPr>
        <w:t xml:space="preserve"> (maximum </w:t>
      </w:r>
      <w:r>
        <w:rPr>
          <w:b/>
          <w:bCs/>
        </w:rPr>
        <w:t>1</w:t>
      </w:r>
      <w:r w:rsidRPr="00DE162B">
        <w:rPr>
          <w:b/>
          <w:bCs/>
        </w:rPr>
        <w:t xml:space="preserve"> </w:t>
      </w:r>
      <w:proofErr w:type="spellStart"/>
      <w:r w:rsidRPr="00DE162B">
        <w:rPr>
          <w:b/>
          <w:bCs/>
        </w:rPr>
        <w:t>page</w:t>
      </w:r>
      <w:proofErr w:type="spellEnd"/>
      <w:r w:rsidRPr="00DE162B">
        <w:rPr>
          <w:b/>
          <w:bCs/>
        </w:rPr>
        <w:t xml:space="preserve">). </w:t>
      </w:r>
    </w:p>
    <w:p w14:paraId="4A4F8D62" w14:textId="77777777" w:rsidR="004E29C4" w:rsidRDefault="00796F1B"/>
    <w:sectPr w:rsidR="004E2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192D"/>
    <w:multiLevelType w:val="hybridMultilevel"/>
    <w:tmpl w:val="B468AB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A"/>
    <w:rsid w:val="00076237"/>
    <w:rsid w:val="0017435B"/>
    <w:rsid w:val="0078097A"/>
    <w:rsid w:val="00796F1B"/>
    <w:rsid w:val="00A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6F8B"/>
  <w15:chartTrackingRefBased/>
  <w15:docId w15:val="{654BE248-041D-834D-9EDE-DFF87A41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97A"/>
    <w:rPr>
      <w:rFonts w:ascii="Times New Roman" w:eastAsia="Times New Roman" w:hAnsi="Times New Roman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78097A"/>
  </w:style>
  <w:style w:type="character" w:customStyle="1" w:styleId="hps">
    <w:name w:val="hps"/>
    <w:basedOn w:val="Domylnaczcionkaakapitu"/>
    <w:rsid w:val="0078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Vukovich</dc:creator>
  <cp:keywords/>
  <dc:description/>
  <cp:lastModifiedBy>Adrian Jusupovic</cp:lastModifiedBy>
  <cp:revision>3</cp:revision>
  <dcterms:created xsi:type="dcterms:W3CDTF">2021-10-21T17:23:00Z</dcterms:created>
  <dcterms:modified xsi:type="dcterms:W3CDTF">2021-11-18T07:40:00Z</dcterms:modified>
</cp:coreProperties>
</file>